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FCFE" w14:textId="7CA3B30B" w:rsidR="00A874F5" w:rsidRPr="00840662" w:rsidRDefault="009C2CD0" w:rsidP="008317B7">
      <w:pPr>
        <w:pStyle w:val="NurText"/>
        <w:spacing w:line="3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Auch nach der </w:t>
      </w:r>
      <w:r w:rsidR="00A874F5" w:rsidRPr="00840662">
        <w:rPr>
          <w:rFonts w:asciiTheme="minorHAnsi" w:hAnsiTheme="minorHAnsi"/>
          <w:b/>
          <w:sz w:val="24"/>
          <w:szCs w:val="24"/>
        </w:rPr>
        <w:t xml:space="preserve">Impfung: </w:t>
      </w:r>
      <w:r>
        <w:rPr>
          <w:rFonts w:asciiTheme="minorHAnsi" w:hAnsiTheme="minorHAnsi"/>
          <w:b/>
          <w:sz w:val="24"/>
          <w:szCs w:val="24"/>
        </w:rPr>
        <w:br/>
      </w:r>
      <w:r w:rsidR="00A874F5" w:rsidRPr="00840662">
        <w:rPr>
          <w:rFonts w:asciiTheme="minorHAnsi" w:hAnsiTheme="minorHAnsi"/>
          <w:b/>
          <w:sz w:val="24"/>
          <w:szCs w:val="24"/>
        </w:rPr>
        <w:t>AHA-Regeln, Lüften und Test</w:t>
      </w:r>
      <w:r w:rsidR="000258A8">
        <w:rPr>
          <w:rFonts w:asciiTheme="minorHAnsi" w:hAnsiTheme="minorHAnsi"/>
          <w:b/>
          <w:sz w:val="24"/>
          <w:szCs w:val="24"/>
        </w:rPr>
        <w:t>en</w:t>
      </w:r>
      <w:r w:rsidR="00A874F5" w:rsidRPr="00840662">
        <w:rPr>
          <w:rFonts w:asciiTheme="minorHAnsi" w:hAnsiTheme="minorHAnsi"/>
          <w:b/>
          <w:sz w:val="24"/>
          <w:szCs w:val="24"/>
        </w:rPr>
        <w:t xml:space="preserve"> in Pflegeheimen </w:t>
      </w:r>
      <w:r w:rsidR="00840662">
        <w:rPr>
          <w:rFonts w:asciiTheme="minorHAnsi" w:hAnsiTheme="minorHAnsi"/>
          <w:b/>
          <w:sz w:val="24"/>
          <w:szCs w:val="24"/>
        </w:rPr>
        <w:t xml:space="preserve">sind </w:t>
      </w:r>
      <w:r w:rsidR="00A874F5" w:rsidRPr="00840662">
        <w:rPr>
          <w:rFonts w:asciiTheme="minorHAnsi" w:hAnsiTheme="minorHAnsi"/>
          <w:b/>
          <w:sz w:val="24"/>
          <w:szCs w:val="24"/>
        </w:rPr>
        <w:t>auch weiterhin wichtig</w:t>
      </w:r>
      <w:r>
        <w:rPr>
          <w:rFonts w:asciiTheme="minorHAnsi" w:hAnsiTheme="minorHAnsi"/>
          <w:b/>
          <w:sz w:val="24"/>
          <w:szCs w:val="24"/>
        </w:rPr>
        <w:t>!</w:t>
      </w:r>
    </w:p>
    <w:p w14:paraId="33AD65DB" w14:textId="77777777" w:rsidR="00A874F5" w:rsidRPr="008317B7" w:rsidRDefault="00A874F5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</w:p>
    <w:p w14:paraId="1E294FBD" w14:textId="2FFD9264" w:rsidR="00A874F5" w:rsidRPr="008317B7" w:rsidRDefault="007207FA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>Auch in Alten- und Pflegeheimen, in denen Bewohnerinnen</w:t>
      </w:r>
      <w:r w:rsidR="00960BF2">
        <w:rPr>
          <w:rFonts w:asciiTheme="minorHAnsi" w:hAnsiTheme="minorHAnsi"/>
          <w:szCs w:val="22"/>
        </w:rPr>
        <w:t xml:space="preserve"> und Bewohner</w:t>
      </w:r>
      <w:r w:rsidRPr="008317B7">
        <w:rPr>
          <w:rFonts w:asciiTheme="minorHAnsi" w:hAnsiTheme="minorHAnsi"/>
          <w:szCs w:val="22"/>
        </w:rPr>
        <w:t xml:space="preserve"> </w:t>
      </w:r>
      <w:r w:rsidR="00960BF2">
        <w:rPr>
          <w:rFonts w:asciiTheme="minorHAnsi" w:hAnsiTheme="minorHAnsi"/>
          <w:szCs w:val="22"/>
        </w:rPr>
        <w:t>sowie</w:t>
      </w:r>
      <w:r w:rsidRPr="008317B7">
        <w:rPr>
          <w:rFonts w:asciiTheme="minorHAnsi" w:hAnsiTheme="minorHAnsi"/>
          <w:szCs w:val="22"/>
        </w:rPr>
        <w:t xml:space="preserve"> Personal schon </w:t>
      </w:r>
      <w:r w:rsidR="000B5F39">
        <w:rPr>
          <w:rFonts w:asciiTheme="minorHAnsi" w:hAnsiTheme="minorHAnsi"/>
          <w:szCs w:val="22"/>
        </w:rPr>
        <w:t xml:space="preserve">weitgehend oder </w:t>
      </w:r>
      <w:r w:rsidRPr="008317B7">
        <w:rPr>
          <w:rFonts w:asciiTheme="minorHAnsi" w:hAnsiTheme="minorHAnsi"/>
          <w:szCs w:val="22"/>
        </w:rPr>
        <w:t>vollständig (2 Impfungen) geimpft wurden, sollen die geltend</w:t>
      </w:r>
      <w:bookmarkStart w:id="0" w:name="_GoBack"/>
      <w:bookmarkEnd w:id="0"/>
      <w:r w:rsidRPr="008317B7">
        <w:rPr>
          <w:rFonts w:asciiTheme="minorHAnsi" w:hAnsiTheme="minorHAnsi"/>
          <w:szCs w:val="22"/>
        </w:rPr>
        <w:t xml:space="preserve">en Empfehlungen </w:t>
      </w:r>
      <w:r w:rsidR="000B5F39">
        <w:rPr>
          <w:rFonts w:asciiTheme="minorHAnsi" w:hAnsiTheme="minorHAnsi"/>
          <w:szCs w:val="22"/>
        </w:rPr>
        <w:t>für Hygieneregeln und auch</w:t>
      </w:r>
      <w:r w:rsidR="00A874F5" w:rsidRPr="008317B7">
        <w:rPr>
          <w:rFonts w:asciiTheme="minorHAnsi" w:hAnsiTheme="minorHAnsi"/>
          <w:szCs w:val="22"/>
        </w:rPr>
        <w:t xml:space="preserve"> </w:t>
      </w:r>
      <w:r w:rsidR="000B5F39">
        <w:rPr>
          <w:rFonts w:asciiTheme="minorHAnsi" w:hAnsiTheme="minorHAnsi"/>
          <w:szCs w:val="22"/>
        </w:rPr>
        <w:t xml:space="preserve">das </w:t>
      </w:r>
      <w:r w:rsidR="00A874F5" w:rsidRPr="008317B7">
        <w:rPr>
          <w:rFonts w:asciiTheme="minorHAnsi" w:hAnsiTheme="minorHAnsi"/>
          <w:szCs w:val="22"/>
        </w:rPr>
        <w:t xml:space="preserve">Testen </w:t>
      </w:r>
      <w:r w:rsidR="00840662" w:rsidRPr="008317B7">
        <w:rPr>
          <w:rFonts w:asciiTheme="minorHAnsi" w:hAnsiTheme="minorHAnsi"/>
          <w:szCs w:val="22"/>
        </w:rPr>
        <w:t xml:space="preserve">weiterhin </w:t>
      </w:r>
      <w:r w:rsidR="000724EC">
        <w:rPr>
          <w:rFonts w:asciiTheme="minorHAnsi" w:hAnsiTheme="minorHAnsi"/>
          <w:szCs w:val="22"/>
        </w:rPr>
        <w:t>angewandt</w:t>
      </w:r>
      <w:r w:rsidR="00840662" w:rsidRPr="008317B7">
        <w:rPr>
          <w:rFonts w:asciiTheme="minorHAnsi" w:hAnsiTheme="minorHAnsi"/>
          <w:szCs w:val="22"/>
        </w:rPr>
        <w:t xml:space="preserve"> werden.</w:t>
      </w:r>
      <w:r w:rsidR="00840662">
        <w:rPr>
          <w:rStyle w:val="Funotenzeichen"/>
          <w:rFonts w:asciiTheme="minorHAnsi" w:hAnsiTheme="minorHAnsi"/>
          <w:szCs w:val="22"/>
        </w:rPr>
        <w:footnoteReference w:id="1"/>
      </w:r>
      <w:r w:rsidR="00840662">
        <w:rPr>
          <w:rFonts w:asciiTheme="minorHAnsi" w:hAnsiTheme="minorHAnsi"/>
          <w:szCs w:val="22"/>
        </w:rPr>
        <w:t xml:space="preserve"> </w:t>
      </w:r>
    </w:p>
    <w:p w14:paraId="7E0EB389" w14:textId="77777777" w:rsidR="000B5F39" w:rsidRDefault="000B5F39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</w:p>
    <w:p w14:paraId="2F237F70" w14:textId="4A5FEA4F" w:rsidR="00A874F5" w:rsidRPr="008317B7" w:rsidRDefault="00A874F5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>Hierzu gehören insbesondere</w:t>
      </w:r>
      <w:r w:rsidR="00CC0E59">
        <w:rPr>
          <w:rFonts w:asciiTheme="minorHAnsi" w:hAnsiTheme="minorHAnsi"/>
          <w:szCs w:val="22"/>
        </w:rPr>
        <w:t>:</w:t>
      </w:r>
      <w:r w:rsidRPr="008317B7">
        <w:rPr>
          <w:rFonts w:asciiTheme="minorHAnsi" w:hAnsiTheme="minorHAnsi"/>
          <w:szCs w:val="22"/>
        </w:rPr>
        <w:t xml:space="preserve"> Abstand halten, Mund-Nasen-Schutz/FFP2-Masken bzw. weitere Schutzausrüstung, Desinfektion, Lüften und regelmäßiges Testen.</w:t>
      </w:r>
      <w:r w:rsidR="00B0375B" w:rsidRPr="008317B7">
        <w:rPr>
          <w:rFonts w:asciiTheme="minorHAnsi" w:hAnsiTheme="minorHAnsi"/>
          <w:szCs w:val="22"/>
        </w:rPr>
        <w:t xml:space="preserve"> </w:t>
      </w:r>
      <w:r w:rsidR="000724EC">
        <w:rPr>
          <w:rFonts w:asciiTheme="minorHAnsi" w:hAnsiTheme="minorHAnsi"/>
          <w:szCs w:val="22"/>
        </w:rPr>
        <w:t>Die</w:t>
      </w:r>
      <w:r w:rsidR="00B0375B" w:rsidRPr="008317B7">
        <w:rPr>
          <w:rFonts w:asciiTheme="minorHAnsi" w:hAnsiTheme="minorHAnsi"/>
          <w:szCs w:val="22"/>
        </w:rPr>
        <w:t xml:space="preserve"> gegenwärtigen Besuchskonzepte sollten</w:t>
      </w:r>
      <w:r w:rsidR="000724EC">
        <w:rPr>
          <w:rFonts w:asciiTheme="minorHAnsi" w:hAnsiTheme="minorHAnsi"/>
          <w:szCs w:val="22"/>
        </w:rPr>
        <w:t xml:space="preserve"> ebenfalls</w:t>
      </w:r>
      <w:r w:rsidR="00B0375B" w:rsidRPr="008317B7">
        <w:rPr>
          <w:rFonts w:asciiTheme="minorHAnsi" w:hAnsiTheme="minorHAnsi"/>
          <w:szCs w:val="22"/>
        </w:rPr>
        <w:t xml:space="preserve"> weiterhin Bestand haben.</w:t>
      </w:r>
    </w:p>
    <w:p w14:paraId="150A84B6" w14:textId="77777777" w:rsidR="000B5F39" w:rsidRDefault="000B5F39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</w:p>
    <w:p w14:paraId="7FDCC752" w14:textId="2CF64042" w:rsidR="007207FA" w:rsidRPr="008317B7" w:rsidRDefault="000B5F39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Auch wenn gerade das Impfen von möglichst vielen Bewohnerinnen und Bewohnern sowie Beschäftigten einen wesentlichen Beitrag dazu leiste</w:t>
      </w:r>
      <w:r w:rsidR="00CC0E59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 xml:space="preserve">, Infektionen zu vermeiden sowie Ausbrüche in den Pflegeeinrichtungen zu verhindern, so sprechen </w:t>
      </w:r>
      <w:r w:rsidR="000B7D6C">
        <w:rPr>
          <w:rFonts w:asciiTheme="minorHAnsi" w:hAnsiTheme="minorHAnsi"/>
          <w:szCs w:val="22"/>
        </w:rPr>
        <w:t>insbesondere die folgenden</w:t>
      </w:r>
      <w:r>
        <w:rPr>
          <w:rFonts w:asciiTheme="minorHAnsi" w:hAnsiTheme="minorHAnsi"/>
          <w:szCs w:val="22"/>
        </w:rPr>
        <w:t xml:space="preserve"> </w:t>
      </w:r>
      <w:r w:rsidR="007207FA" w:rsidRPr="008317B7">
        <w:rPr>
          <w:rFonts w:asciiTheme="minorHAnsi" w:hAnsiTheme="minorHAnsi"/>
          <w:szCs w:val="22"/>
        </w:rPr>
        <w:t>Gründe für</w:t>
      </w:r>
      <w:r w:rsidR="00A874F5" w:rsidRPr="008317B7">
        <w:rPr>
          <w:rFonts w:asciiTheme="minorHAnsi" w:hAnsiTheme="minorHAnsi"/>
          <w:szCs w:val="22"/>
        </w:rPr>
        <w:t xml:space="preserve"> die </w:t>
      </w:r>
      <w:r w:rsidR="000B7D6C">
        <w:rPr>
          <w:rFonts w:asciiTheme="minorHAnsi" w:hAnsiTheme="minorHAnsi"/>
          <w:szCs w:val="22"/>
        </w:rPr>
        <w:t xml:space="preserve">weitere </w:t>
      </w:r>
      <w:r w:rsidR="00A874F5" w:rsidRPr="008317B7">
        <w:rPr>
          <w:rFonts w:asciiTheme="minorHAnsi" w:hAnsiTheme="minorHAnsi"/>
          <w:szCs w:val="22"/>
        </w:rPr>
        <w:t xml:space="preserve">Aufrechterhaltung </w:t>
      </w:r>
      <w:r>
        <w:rPr>
          <w:rFonts w:asciiTheme="minorHAnsi" w:hAnsiTheme="minorHAnsi"/>
          <w:szCs w:val="22"/>
        </w:rPr>
        <w:t>der allgemeinen Schutzm</w:t>
      </w:r>
      <w:r w:rsidR="00A874F5" w:rsidRPr="008317B7">
        <w:rPr>
          <w:rFonts w:asciiTheme="minorHAnsi" w:hAnsiTheme="minorHAnsi"/>
          <w:szCs w:val="22"/>
        </w:rPr>
        <w:t>aßnahmen</w:t>
      </w:r>
      <w:r w:rsidR="007207FA" w:rsidRPr="008317B7">
        <w:rPr>
          <w:rFonts w:asciiTheme="minorHAnsi" w:hAnsiTheme="minorHAnsi"/>
          <w:szCs w:val="22"/>
        </w:rPr>
        <w:t>:</w:t>
      </w:r>
    </w:p>
    <w:p w14:paraId="53D79A9C" w14:textId="7B3C9AED" w:rsidR="007207FA" w:rsidRPr="008317B7" w:rsidRDefault="000B5F39" w:rsidP="000B5F39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In vielen Einrichtungen </w:t>
      </w:r>
      <w:r w:rsidR="007207FA" w:rsidRPr="008317B7">
        <w:rPr>
          <w:rFonts w:asciiTheme="minorHAnsi" w:hAnsiTheme="minorHAnsi"/>
          <w:szCs w:val="22"/>
        </w:rPr>
        <w:t xml:space="preserve">sind nicht alle Bewohnerinnen </w:t>
      </w:r>
      <w:r w:rsidR="00A63C9C">
        <w:rPr>
          <w:rFonts w:asciiTheme="minorHAnsi" w:hAnsiTheme="minorHAnsi"/>
          <w:szCs w:val="22"/>
        </w:rPr>
        <w:t xml:space="preserve">und Bewohner </w:t>
      </w:r>
      <w:r w:rsidR="007207FA" w:rsidRPr="008317B7">
        <w:rPr>
          <w:rFonts w:asciiTheme="minorHAnsi" w:hAnsiTheme="minorHAnsi"/>
          <w:szCs w:val="22"/>
        </w:rPr>
        <w:t>geimpft.</w:t>
      </w:r>
    </w:p>
    <w:p w14:paraId="11533C66" w14:textId="6DE3BB0A" w:rsidR="007207FA" w:rsidRPr="008317B7" w:rsidRDefault="000B5F39" w:rsidP="000B5F39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Auch </w:t>
      </w:r>
      <w:r w:rsidR="007207FA" w:rsidRPr="008317B7">
        <w:rPr>
          <w:rFonts w:asciiTheme="minorHAnsi" w:hAnsiTheme="minorHAnsi"/>
          <w:szCs w:val="22"/>
        </w:rPr>
        <w:t xml:space="preserve">ist nicht </w:t>
      </w:r>
      <w:r>
        <w:rPr>
          <w:rFonts w:asciiTheme="minorHAnsi" w:hAnsiTheme="minorHAnsi"/>
          <w:szCs w:val="22"/>
        </w:rPr>
        <w:t xml:space="preserve">immer </w:t>
      </w:r>
      <w:r w:rsidR="007207FA" w:rsidRPr="008317B7">
        <w:rPr>
          <w:rFonts w:asciiTheme="minorHAnsi" w:hAnsiTheme="minorHAnsi"/>
          <w:szCs w:val="22"/>
        </w:rPr>
        <w:t>das gesamte Personal geimpft</w:t>
      </w:r>
      <w:r w:rsidR="00A874F5" w:rsidRPr="008317B7">
        <w:rPr>
          <w:rFonts w:asciiTheme="minorHAnsi" w:hAnsiTheme="minorHAnsi"/>
          <w:szCs w:val="22"/>
        </w:rPr>
        <w:t xml:space="preserve"> (der Anteil des geimpften Personals ist meist geringer als der Anteil geimpfter </w:t>
      </w:r>
      <w:r w:rsidR="007207FA" w:rsidRPr="008317B7">
        <w:rPr>
          <w:rFonts w:asciiTheme="minorHAnsi" w:hAnsiTheme="minorHAnsi"/>
          <w:szCs w:val="22"/>
        </w:rPr>
        <w:t>Bewohnerinnen</w:t>
      </w:r>
      <w:r w:rsidR="00A63C9C">
        <w:rPr>
          <w:rFonts w:asciiTheme="minorHAnsi" w:hAnsiTheme="minorHAnsi"/>
          <w:szCs w:val="22"/>
        </w:rPr>
        <w:t xml:space="preserve"> und Bewohner</w:t>
      </w:r>
      <w:r w:rsidR="00A874F5" w:rsidRPr="008317B7">
        <w:rPr>
          <w:rFonts w:asciiTheme="minorHAnsi" w:hAnsiTheme="minorHAnsi"/>
          <w:szCs w:val="22"/>
        </w:rPr>
        <w:t>)</w:t>
      </w:r>
      <w:r w:rsidR="007207FA" w:rsidRPr="008317B7">
        <w:rPr>
          <w:rFonts w:asciiTheme="minorHAnsi" w:hAnsiTheme="minorHAnsi"/>
          <w:szCs w:val="22"/>
        </w:rPr>
        <w:t>.</w:t>
      </w:r>
    </w:p>
    <w:p w14:paraId="4140D3D8" w14:textId="0CD39F2F" w:rsidR="00A874F5" w:rsidRPr="008317B7" w:rsidRDefault="00A874F5" w:rsidP="000B5F39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>Bisher ist unklar, ob geimpfte Personen das Virus weitergeben können.</w:t>
      </w:r>
    </w:p>
    <w:p w14:paraId="6B791B79" w14:textId="77777777" w:rsidR="001A3AF7" w:rsidRPr="008317B7" w:rsidRDefault="001A3AF7" w:rsidP="001A3AF7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>Die meisten Besucher</w:t>
      </w:r>
      <w:r>
        <w:rPr>
          <w:rFonts w:asciiTheme="minorHAnsi" w:hAnsiTheme="minorHAnsi"/>
          <w:szCs w:val="22"/>
        </w:rPr>
        <w:t>innen und Besucher</w:t>
      </w:r>
      <w:r w:rsidRPr="008317B7">
        <w:rPr>
          <w:rFonts w:asciiTheme="minorHAnsi" w:hAnsiTheme="minorHAnsi"/>
          <w:szCs w:val="22"/>
        </w:rPr>
        <w:t xml:space="preserve"> sind noch nicht geimpft.</w:t>
      </w:r>
    </w:p>
    <w:p w14:paraId="6F0BE78C" w14:textId="09816C70" w:rsidR="007207FA" w:rsidRPr="008317B7" w:rsidRDefault="007207FA" w:rsidP="000B5F39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 xml:space="preserve">Obwohl Studien zu </w:t>
      </w:r>
      <w:r w:rsidR="00A874F5" w:rsidRPr="008317B7">
        <w:rPr>
          <w:rFonts w:asciiTheme="minorHAnsi" w:hAnsiTheme="minorHAnsi"/>
          <w:szCs w:val="22"/>
        </w:rPr>
        <w:t xml:space="preserve">den derzeit eingesetzten </w:t>
      </w:r>
      <w:proofErr w:type="spellStart"/>
      <w:r w:rsidRPr="008317B7">
        <w:rPr>
          <w:rFonts w:asciiTheme="minorHAnsi" w:hAnsiTheme="minorHAnsi"/>
          <w:szCs w:val="22"/>
        </w:rPr>
        <w:t>mRNA</w:t>
      </w:r>
      <w:proofErr w:type="spellEnd"/>
      <w:r w:rsidRPr="008317B7">
        <w:rPr>
          <w:rFonts w:asciiTheme="minorHAnsi" w:hAnsiTheme="minorHAnsi"/>
          <w:szCs w:val="22"/>
        </w:rPr>
        <w:t>-Impfstoffen stark darauf hindeuten, dass der Impfschutz auch bei alten Menschen mit Vorerkrankungen gegen den Virustyp, der seit fast 12 Monaten in Deutschland anzutreffen ist</w:t>
      </w:r>
      <w:r w:rsidR="00E93BBA" w:rsidRPr="00E93BBA">
        <w:rPr>
          <w:rFonts w:asciiTheme="minorHAnsi" w:hAnsiTheme="minorHAnsi"/>
          <w:szCs w:val="22"/>
        </w:rPr>
        <w:t xml:space="preserve"> </w:t>
      </w:r>
      <w:r w:rsidR="00E93BBA">
        <w:rPr>
          <w:rFonts w:asciiTheme="minorHAnsi" w:hAnsiTheme="minorHAnsi"/>
          <w:szCs w:val="22"/>
        </w:rPr>
        <w:t>(„</w:t>
      </w:r>
      <w:proofErr w:type="spellStart"/>
      <w:r w:rsidR="00E93BBA" w:rsidRPr="008317B7">
        <w:rPr>
          <w:rFonts w:asciiTheme="minorHAnsi" w:hAnsiTheme="minorHAnsi"/>
          <w:szCs w:val="22"/>
        </w:rPr>
        <w:t>Wildtyp</w:t>
      </w:r>
      <w:proofErr w:type="spellEnd"/>
      <w:r w:rsidR="00E93BBA" w:rsidRPr="008317B7">
        <w:rPr>
          <w:rFonts w:asciiTheme="minorHAnsi" w:hAnsiTheme="minorHAnsi"/>
          <w:szCs w:val="22"/>
        </w:rPr>
        <w:t xml:space="preserve"> SARS-CoV-</w:t>
      </w:r>
      <w:r w:rsidR="00E93BBA">
        <w:rPr>
          <w:rFonts w:asciiTheme="minorHAnsi" w:hAnsiTheme="minorHAnsi"/>
          <w:szCs w:val="22"/>
        </w:rPr>
        <w:t>2“</w:t>
      </w:r>
      <w:r w:rsidRPr="008317B7">
        <w:rPr>
          <w:rFonts w:asciiTheme="minorHAnsi" w:hAnsiTheme="minorHAnsi"/>
          <w:szCs w:val="22"/>
        </w:rPr>
        <w:t>)</w:t>
      </w:r>
      <w:r w:rsidR="009C2CD0">
        <w:rPr>
          <w:rFonts w:asciiTheme="minorHAnsi" w:hAnsiTheme="minorHAnsi"/>
          <w:szCs w:val="22"/>
        </w:rPr>
        <w:t>,</w:t>
      </w:r>
      <w:r w:rsidRPr="008317B7">
        <w:rPr>
          <w:rFonts w:asciiTheme="minorHAnsi" w:hAnsiTheme="minorHAnsi"/>
          <w:szCs w:val="22"/>
        </w:rPr>
        <w:t xml:space="preserve"> sehr gut ist</w:t>
      </w:r>
      <w:r w:rsidR="00F06580">
        <w:rPr>
          <w:rFonts w:asciiTheme="minorHAnsi" w:hAnsiTheme="minorHAnsi"/>
          <w:szCs w:val="22"/>
        </w:rPr>
        <w:t xml:space="preserve"> </w:t>
      </w:r>
      <w:r w:rsidR="00E93BBA" w:rsidRPr="008317B7">
        <w:rPr>
          <w:rFonts w:asciiTheme="minorHAnsi" w:hAnsiTheme="minorHAnsi"/>
          <w:szCs w:val="22"/>
        </w:rPr>
        <w:t>(&gt;</w:t>
      </w:r>
      <w:r w:rsidR="00F06580">
        <w:rPr>
          <w:rFonts w:asciiTheme="minorHAnsi" w:hAnsiTheme="minorHAnsi"/>
          <w:szCs w:val="22"/>
        </w:rPr>
        <w:t xml:space="preserve"> </w:t>
      </w:r>
      <w:r w:rsidR="00E93BBA" w:rsidRPr="008317B7">
        <w:rPr>
          <w:rFonts w:asciiTheme="minorHAnsi" w:hAnsiTheme="minorHAnsi"/>
          <w:szCs w:val="22"/>
        </w:rPr>
        <w:t>90% Wirksamkeit)</w:t>
      </w:r>
      <w:r w:rsidRPr="008317B7">
        <w:rPr>
          <w:rFonts w:asciiTheme="minorHAnsi" w:hAnsiTheme="minorHAnsi"/>
          <w:szCs w:val="22"/>
        </w:rPr>
        <w:t xml:space="preserve">, </w:t>
      </w:r>
      <w:r w:rsidR="00A874F5" w:rsidRPr="008317B7">
        <w:rPr>
          <w:rFonts w:asciiTheme="minorHAnsi" w:hAnsiTheme="minorHAnsi"/>
          <w:szCs w:val="22"/>
        </w:rPr>
        <w:t>ist</w:t>
      </w:r>
      <w:r w:rsidRPr="008317B7">
        <w:rPr>
          <w:rFonts w:asciiTheme="minorHAnsi" w:hAnsiTheme="minorHAnsi"/>
          <w:szCs w:val="22"/>
        </w:rPr>
        <w:t xml:space="preserve"> dies noch nicht sicher</w:t>
      </w:r>
      <w:r w:rsidR="00A874F5" w:rsidRPr="008317B7">
        <w:rPr>
          <w:rFonts w:asciiTheme="minorHAnsi" w:hAnsiTheme="minorHAnsi"/>
          <w:szCs w:val="22"/>
        </w:rPr>
        <w:t xml:space="preserve"> nachgewiesen</w:t>
      </w:r>
      <w:r w:rsidRPr="008317B7">
        <w:rPr>
          <w:rFonts w:asciiTheme="minorHAnsi" w:hAnsiTheme="minorHAnsi"/>
          <w:szCs w:val="22"/>
        </w:rPr>
        <w:t>.</w:t>
      </w:r>
    </w:p>
    <w:p w14:paraId="5336B4E0" w14:textId="333BD8B9" w:rsidR="007207FA" w:rsidRPr="008317B7" w:rsidRDefault="007207FA" w:rsidP="000B5F39">
      <w:pPr>
        <w:pStyle w:val="NurText"/>
        <w:numPr>
          <w:ilvl w:val="0"/>
          <w:numId w:val="1"/>
        </w:numPr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 xml:space="preserve">Es gibt verschiedene neue Virusvarianten (B1.1.7 v.a. aus England, B 1.351 v.a. aus Südafrika, P.1 v.a. aus Brasilien), für die noch nicht bekannt ist, ob die Impfung mit der gleichen Stärke einen Schutz bietet. </w:t>
      </w:r>
    </w:p>
    <w:p w14:paraId="74C5C672" w14:textId="77777777" w:rsidR="00D70112" w:rsidRPr="008317B7" w:rsidRDefault="00D70112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</w:p>
    <w:p w14:paraId="625AF1C8" w14:textId="20A0BDEE" w:rsidR="00D70112" w:rsidRPr="008317B7" w:rsidRDefault="00D70112" w:rsidP="008317B7">
      <w:pPr>
        <w:pStyle w:val="NurText"/>
        <w:spacing w:line="340" w:lineRule="atLeast"/>
        <w:rPr>
          <w:rFonts w:asciiTheme="minorHAnsi" w:hAnsiTheme="minorHAnsi"/>
          <w:szCs w:val="22"/>
        </w:rPr>
      </w:pPr>
      <w:r w:rsidRPr="008317B7">
        <w:rPr>
          <w:rFonts w:asciiTheme="minorHAnsi" w:hAnsiTheme="minorHAnsi"/>
          <w:szCs w:val="22"/>
        </w:rPr>
        <w:t xml:space="preserve">Daher ist wichtig, trotz Impfung weiterhin diszipliniert die gängigen Schutzvorkehrungen </w:t>
      </w:r>
      <w:r w:rsidR="00B0375B" w:rsidRPr="008317B7">
        <w:rPr>
          <w:rFonts w:asciiTheme="minorHAnsi" w:hAnsiTheme="minorHAnsi"/>
          <w:szCs w:val="22"/>
        </w:rPr>
        <w:t xml:space="preserve">und Maßnahmen </w:t>
      </w:r>
      <w:r w:rsidRPr="008317B7">
        <w:rPr>
          <w:rFonts w:asciiTheme="minorHAnsi" w:hAnsiTheme="minorHAnsi"/>
          <w:szCs w:val="22"/>
        </w:rPr>
        <w:t>beizubehalten</w:t>
      </w:r>
      <w:r w:rsidR="00E93BBA">
        <w:rPr>
          <w:rFonts w:asciiTheme="minorHAnsi" w:hAnsiTheme="minorHAnsi"/>
          <w:szCs w:val="22"/>
        </w:rPr>
        <w:t xml:space="preserve">, solange auch die Inzidenzraten </w:t>
      </w:r>
      <w:r w:rsidR="00F06580">
        <w:rPr>
          <w:rFonts w:asciiTheme="minorHAnsi" w:hAnsiTheme="minorHAnsi"/>
          <w:szCs w:val="22"/>
        </w:rPr>
        <w:t xml:space="preserve">– </w:t>
      </w:r>
      <w:r w:rsidR="00E93BBA">
        <w:rPr>
          <w:rFonts w:asciiTheme="minorHAnsi" w:hAnsiTheme="minorHAnsi"/>
          <w:szCs w:val="22"/>
        </w:rPr>
        <w:t>trotz Rückgang</w:t>
      </w:r>
      <w:r w:rsidR="00F06580">
        <w:rPr>
          <w:rFonts w:asciiTheme="minorHAnsi" w:hAnsiTheme="minorHAnsi"/>
          <w:szCs w:val="22"/>
        </w:rPr>
        <w:t xml:space="preserve"> in den letzten Tagen</w:t>
      </w:r>
      <w:r w:rsidR="00E93BBA">
        <w:rPr>
          <w:rFonts w:asciiTheme="minorHAnsi" w:hAnsiTheme="minorHAnsi"/>
          <w:szCs w:val="22"/>
        </w:rPr>
        <w:t xml:space="preserve"> </w:t>
      </w:r>
      <w:r w:rsidR="00F06580">
        <w:rPr>
          <w:rFonts w:asciiTheme="minorHAnsi" w:hAnsiTheme="minorHAnsi"/>
          <w:szCs w:val="22"/>
        </w:rPr>
        <w:t xml:space="preserve">– </w:t>
      </w:r>
      <w:r w:rsidR="00E93BBA">
        <w:rPr>
          <w:rFonts w:asciiTheme="minorHAnsi" w:hAnsiTheme="minorHAnsi"/>
          <w:szCs w:val="22"/>
        </w:rPr>
        <w:t xml:space="preserve">noch hoch liegen und die Verbreitung und Auswirkung der genannten </w:t>
      </w:r>
      <w:r w:rsidR="00F06580">
        <w:rPr>
          <w:rFonts w:asciiTheme="minorHAnsi" w:hAnsiTheme="minorHAnsi"/>
          <w:szCs w:val="22"/>
        </w:rPr>
        <w:t>Virusm</w:t>
      </w:r>
      <w:r w:rsidR="00E93BBA">
        <w:rPr>
          <w:rFonts w:asciiTheme="minorHAnsi" w:hAnsiTheme="minorHAnsi"/>
          <w:szCs w:val="22"/>
        </w:rPr>
        <w:t>utationen weiter Anlass zur Vorsicht gibt.</w:t>
      </w:r>
      <w:r w:rsidR="00C36150" w:rsidRPr="008317B7">
        <w:rPr>
          <w:rFonts w:asciiTheme="minorHAnsi" w:hAnsiTheme="minorHAnsi"/>
          <w:szCs w:val="22"/>
        </w:rPr>
        <w:t xml:space="preserve"> </w:t>
      </w:r>
      <w:r w:rsidR="00E93BBA">
        <w:rPr>
          <w:rFonts w:asciiTheme="minorHAnsi" w:hAnsiTheme="minorHAnsi"/>
          <w:szCs w:val="22"/>
        </w:rPr>
        <w:t>Dies dient de</w:t>
      </w:r>
      <w:r w:rsidRPr="008317B7">
        <w:rPr>
          <w:rFonts w:asciiTheme="minorHAnsi" w:hAnsiTheme="minorHAnsi"/>
          <w:szCs w:val="22"/>
        </w:rPr>
        <w:t xml:space="preserve">m eigenen Schutz sowie </w:t>
      </w:r>
      <w:r w:rsidR="00E93BBA">
        <w:rPr>
          <w:rFonts w:asciiTheme="minorHAnsi" w:hAnsiTheme="minorHAnsi"/>
          <w:szCs w:val="22"/>
        </w:rPr>
        <w:t>de</w:t>
      </w:r>
      <w:r w:rsidRPr="008317B7">
        <w:rPr>
          <w:rFonts w:asciiTheme="minorHAnsi" w:hAnsiTheme="minorHAnsi"/>
          <w:szCs w:val="22"/>
        </w:rPr>
        <w:t>m Schutz Anderer.</w:t>
      </w:r>
    </w:p>
    <w:p w14:paraId="55FA74EC" w14:textId="77777777" w:rsidR="00694934" w:rsidRPr="008317B7" w:rsidRDefault="00694934" w:rsidP="008317B7">
      <w:pPr>
        <w:spacing w:after="0" w:line="340" w:lineRule="atLeast"/>
        <w:rPr>
          <w:rFonts w:asciiTheme="minorHAnsi" w:hAnsiTheme="minorHAnsi"/>
        </w:rPr>
      </w:pPr>
    </w:p>
    <w:sectPr w:rsidR="00694934" w:rsidRPr="008317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2416" w14:textId="77777777" w:rsidR="00FB2793" w:rsidRDefault="00FB2793" w:rsidP="00840662">
      <w:pPr>
        <w:spacing w:after="0" w:line="240" w:lineRule="auto"/>
      </w:pPr>
      <w:r>
        <w:separator/>
      </w:r>
    </w:p>
  </w:endnote>
  <w:endnote w:type="continuationSeparator" w:id="0">
    <w:p w14:paraId="670452E6" w14:textId="77777777" w:rsidR="00FB2793" w:rsidRDefault="00FB2793" w:rsidP="0084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43881" w14:textId="77777777" w:rsidR="00FB2793" w:rsidRDefault="00FB2793" w:rsidP="00840662">
      <w:pPr>
        <w:spacing w:after="0" w:line="240" w:lineRule="auto"/>
      </w:pPr>
      <w:r>
        <w:separator/>
      </w:r>
    </w:p>
  </w:footnote>
  <w:footnote w:type="continuationSeparator" w:id="0">
    <w:p w14:paraId="37C28BCD" w14:textId="77777777" w:rsidR="00FB2793" w:rsidRDefault="00FB2793" w:rsidP="00840662">
      <w:pPr>
        <w:spacing w:after="0" w:line="240" w:lineRule="auto"/>
      </w:pPr>
      <w:r>
        <w:continuationSeparator/>
      </w:r>
    </w:p>
  </w:footnote>
  <w:footnote w:id="1">
    <w:p w14:paraId="109826F0" w14:textId="699669A6" w:rsidR="00840662" w:rsidRPr="00CC0E59" w:rsidRDefault="00840662">
      <w:pPr>
        <w:pStyle w:val="Funotentext"/>
        <w:rPr>
          <w:rFonts w:asciiTheme="minorHAnsi" w:hAnsiTheme="minorHAnsi"/>
          <w:sz w:val="18"/>
          <w:szCs w:val="18"/>
        </w:rPr>
      </w:pPr>
      <w:r w:rsidRPr="00CC0E59">
        <w:rPr>
          <w:rStyle w:val="Funotenzeichen"/>
          <w:rFonts w:asciiTheme="minorHAnsi" w:hAnsiTheme="minorHAnsi"/>
          <w:sz w:val="18"/>
          <w:szCs w:val="18"/>
        </w:rPr>
        <w:footnoteRef/>
      </w:r>
      <w:r w:rsidRPr="00CC0E59">
        <w:rPr>
          <w:rFonts w:asciiTheme="minorHAnsi" w:hAnsiTheme="minorHAnsi"/>
          <w:sz w:val="18"/>
          <w:szCs w:val="18"/>
        </w:rPr>
        <w:t xml:space="preserve"> Empfehlungen des Robert-Koch Institutes (https://www.rki.de/DE/Content/InfAZ/N/Neuartiges_Coronavirus/Alten_Pflegeeinrichtung_Empfehlung.pdf?__blob=publicationFile)</w:t>
      </w:r>
      <w:r w:rsidR="00CC0E59">
        <w:rPr>
          <w:rFonts w:asciiTheme="minorHAnsi" w:hAnsiTheme="minorHAnsi"/>
          <w:sz w:val="18"/>
          <w:szCs w:val="18"/>
        </w:rPr>
        <w:t>.</w:t>
      </w:r>
      <w:r w:rsidRPr="00CC0E59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20E14"/>
    <w:multiLevelType w:val="hybridMultilevel"/>
    <w:tmpl w:val="80D6EF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FA"/>
    <w:rsid w:val="000258A8"/>
    <w:rsid w:val="000724EC"/>
    <w:rsid w:val="000B5F39"/>
    <w:rsid w:val="000B7D6C"/>
    <w:rsid w:val="00171297"/>
    <w:rsid w:val="001A3AF7"/>
    <w:rsid w:val="001B4CB0"/>
    <w:rsid w:val="002C2982"/>
    <w:rsid w:val="00362AB8"/>
    <w:rsid w:val="004E5876"/>
    <w:rsid w:val="00694934"/>
    <w:rsid w:val="007207FA"/>
    <w:rsid w:val="008317B7"/>
    <w:rsid w:val="008374C8"/>
    <w:rsid w:val="00840662"/>
    <w:rsid w:val="008879C1"/>
    <w:rsid w:val="00960BF2"/>
    <w:rsid w:val="009C2CD0"/>
    <w:rsid w:val="009D3C2B"/>
    <w:rsid w:val="00A63C9C"/>
    <w:rsid w:val="00A874F5"/>
    <w:rsid w:val="00B0375B"/>
    <w:rsid w:val="00C36150"/>
    <w:rsid w:val="00C40D5F"/>
    <w:rsid w:val="00C550C0"/>
    <w:rsid w:val="00CC0E59"/>
    <w:rsid w:val="00D70112"/>
    <w:rsid w:val="00E93BBA"/>
    <w:rsid w:val="00EC7A46"/>
    <w:rsid w:val="00F06580"/>
    <w:rsid w:val="00F13E29"/>
    <w:rsid w:val="00F32A5F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4721F"/>
  <w15:chartTrackingRefBased/>
  <w15:docId w15:val="{DEEDB055-68F4-4CBC-AEDE-1E3509E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undesSerif Office" w:eastAsiaTheme="minorHAnsi" w:hAnsi="BundesSerif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7207F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07FA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7207F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74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74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4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4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4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4F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406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06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40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ED45-E8DA-4438-8E8C-48D5D226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Gesundheit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Braubach Dr., Angela -413 BMG</dc:creator>
  <cp:keywords/>
  <dc:description/>
  <cp:lastModifiedBy>Braubach Dr., Angela -413 BMG</cp:lastModifiedBy>
  <cp:revision>2</cp:revision>
  <cp:lastPrinted>2021-01-27T12:19:00Z</cp:lastPrinted>
  <dcterms:created xsi:type="dcterms:W3CDTF">2021-02-04T10:49:00Z</dcterms:created>
  <dcterms:modified xsi:type="dcterms:W3CDTF">2021-02-04T10:49:00Z</dcterms:modified>
</cp:coreProperties>
</file>